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3F8" w14:textId="060A4B8E" w:rsidR="005D3CD6" w:rsidRPr="00892792" w:rsidRDefault="006F338F" w:rsidP="00EB5F51">
      <w:pPr>
        <w:pStyle w:val="SCT"/>
        <w:jc w:val="center"/>
        <w:rPr>
          <w:rStyle w:val="NAM"/>
        </w:rPr>
      </w:pPr>
      <w:r w:rsidRPr="00892792">
        <w:t>S</w:t>
      </w:r>
      <w:r w:rsidR="00277EF4" w:rsidRPr="00892792">
        <w:t xml:space="preserve">ECTION </w:t>
      </w:r>
      <w:r w:rsidR="00325A52" w:rsidRPr="00892792">
        <w:rPr>
          <w:rStyle w:val="NUM"/>
        </w:rPr>
        <w:t>0</w:t>
      </w:r>
      <w:r w:rsidR="00D55100" w:rsidRPr="00892792">
        <w:rPr>
          <w:rStyle w:val="NUM"/>
        </w:rPr>
        <w:t>7</w:t>
      </w:r>
      <w:r w:rsidR="00325A52" w:rsidRPr="00892792">
        <w:rPr>
          <w:rStyle w:val="NUM"/>
        </w:rPr>
        <w:t xml:space="preserve"> </w:t>
      </w:r>
      <w:r w:rsidR="00D55100" w:rsidRPr="00892792">
        <w:rPr>
          <w:rStyle w:val="NUM"/>
        </w:rPr>
        <w:t>72</w:t>
      </w:r>
      <w:r w:rsidR="00325A52" w:rsidRPr="00892792">
        <w:rPr>
          <w:rStyle w:val="NUM"/>
        </w:rPr>
        <w:t xml:space="preserve"> </w:t>
      </w:r>
      <w:r w:rsidR="00D55100" w:rsidRPr="00892792">
        <w:rPr>
          <w:rStyle w:val="NUM"/>
        </w:rPr>
        <w:t>33</w:t>
      </w:r>
    </w:p>
    <w:p w14:paraId="032B8668" w14:textId="54E766A3" w:rsidR="00277EF4" w:rsidRPr="00892792" w:rsidRDefault="00D55100" w:rsidP="00EB5F51">
      <w:pPr>
        <w:pStyle w:val="SCT"/>
        <w:jc w:val="center"/>
      </w:pPr>
      <w:r w:rsidRPr="00892792">
        <w:rPr>
          <w:rStyle w:val="NAM"/>
        </w:rPr>
        <w:t>ROOF 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5E410D0A" w:rsidR="005B6AE1" w:rsidRDefault="00892792" w:rsidP="00EB5F51">
      <w:pPr>
        <w:pStyle w:val="PR2"/>
        <w:spacing w:before="240"/>
      </w:pPr>
      <w:r>
        <w:t>Specialty custom designed HatchGrip® for Roof Hatches.</w:t>
      </w:r>
    </w:p>
    <w:p w14:paraId="6BF1B53B" w14:textId="451F4523" w:rsidR="005B6AE1" w:rsidRDefault="00D55100" w:rsidP="00EB5F51">
      <w:pPr>
        <w:pStyle w:val="PR2"/>
      </w:pPr>
      <w:r>
        <w:t>Hatch</w:t>
      </w:r>
      <w:r w:rsidR="00892792">
        <w:t>Grip</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744E4738" w:rsidR="005B6AE1" w:rsidRPr="00494F52" w:rsidRDefault="005B6AE1" w:rsidP="005B6AE1">
      <w:pPr>
        <w:pStyle w:val="PR2"/>
        <w:spacing w:before="240"/>
      </w:pPr>
      <w:r>
        <w:t xml:space="preserve">Division </w:t>
      </w:r>
      <w:r w:rsidR="00892792">
        <w:t>7</w:t>
      </w:r>
      <w:r w:rsidR="0072187E">
        <w:t>3</w:t>
      </w:r>
      <w:r w:rsidR="00546EA8" w:rsidRPr="00494F52">
        <w:t xml:space="preserve"> </w:t>
      </w:r>
      <w:r w:rsidR="00546EA8">
        <w:t>–</w:t>
      </w:r>
      <w:r w:rsidR="00546EA8" w:rsidRPr="00494F52">
        <w:t xml:space="preserve"> </w:t>
      </w:r>
      <w:r w:rsidR="00892792">
        <w:t>Roof Hatches</w:t>
      </w:r>
      <w:r w:rsidRPr="00494F52">
        <w:t>.</w:t>
      </w:r>
    </w:p>
    <w:p w14:paraId="79F986CF" w14:textId="5DAC5C55" w:rsidR="005B6AE1" w:rsidRPr="00494F52" w:rsidRDefault="005B6AE1" w:rsidP="005B6AE1">
      <w:pPr>
        <w:pStyle w:val="PR2"/>
      </w:pPr>
      <w:r>
        <w:t>Division 0</w:t>
      </w:r>
      <w:r w:rsidR="00892792">
        <w:t>5</w:t>
      </w:r>
      <w:r w:rsidR="00546EA8" w:rsidRPr="00494F52">
        <w:t xml:space="preserve"> </w:t>
      </w:r>
      <w:r w:rsidR="00546EA8">
        <w:t>–</w:t>
      </w:r>
      <w:r w:rsidR="00010E62">
        <w:t xml:space="preserve"> </w:t>
      </w:r>
      <w:r w:rsidR="00892792">
        <w:t>Pipe and Tube Railings</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730BD5"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4C6674AD" w:rsidR="00700ECC" w:rsidRPr="00700ECC" w:rsidRDefault="00700ECC" w:rsidP="00700ECC">
      <w:pPr>
        <w:pStyle w:val="PR1"/>
        <w:numPr>
          <w:ilvl w:val="0"/>
          <w:numId w:val="0"/>
        </w:numPr>
        <w:spacing w:after="240"/>
        <w:rPr>
          <w:color w:val="C00000"/>
        </w:rPr>
      </w:pPr>
      <w:r w:rsidRPr="00700ECC">
        <w:rPr>
          <w:color w:val="C00000"/>
        </w:rPr>
        <w:t>**Note to Specifier** Ch</w:t>
      </w:r>
      <w:r w:rsidR="00F03291">
        <w:rPr>
          <w:color w:val="C00000"/>
        </w:rPr>
        <w:t>o</w:t>
      </w:r>
      <w:r w:rsidRPr="00700ECC">
        <w:rPr>
          <w:color w:val="C00000"/>
        </w:rPr>
        <w:t>ose one (1) of the following statements.</w:t>
      </w:r>
    </w:p>
    <w:p w14:paraId="28A9C6FD" w14:textId="70824184" w:rsidR="00700ECC" w:rsidRDefault="00700ECC" w:rsidP="00700ECC">
      <w:pPr>
        <w:pStyle w:val="PR2"/>
      </w:pPr>
      <w:r>
        <w:t xml:space="preserve">Engineering calculations are not required for this </w:t>
      </w:r>
      <w:r w:rsidR="00A335B4">
        <w:t>roof hatch</w:t>
      </w:r>
      <w:r>
        <w:t>.</w:t>
      </w:r>
    </w:p>
    <w:p w14:paraId="4EC2EE58" w14:textId="3A384730" w:rsidR="00700ECC" w:rsidRDefault="00700ECC" w:rsidP="00700ECC">
      <w:pPr>
        <w:pStyle w:val="PR2"/>
      </w:pPr>
      <w:r>
        <w:t xml:space="preserve">Submit calculations by a qualified engineer, to verify </w:t>
      </w:r>
      <w:r w:rsidR="00A335B4">
        <w:t>roof hatch</w:t>
      </w:r>
      <w:r>
        <w:t>’s ability to withstand the design loading.</w:t>
      </w:r>
    </w:p>
    <w:p w14:paraId="6273157A" w14:textId="7ED875F8" w:rsidR="00700ECC" w:rsidRPr="00494F52" w:rsidRDefault="00700ECC" w:rsidP="00700ECC">
      <w:pPr>
        <w:pStyle w:val="PR2"/>
      </w:pPr>
      <w:r>
        <w:lastRenderedPageBreak/>
        <w:t xml:space="preserve">Submit stamped calculations by a registered professional engineer from within the state or territory where the project will be constructed or substantially improved, to verify the </w:t>
      </w:r>
      <w:r w:rsidR="00A335B4">
        <w:t>roof hatch</w:t>
      </w:r>
      <w:r>
        <w:t>’s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lastRenderedPageBreak/>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include;</w:t>
      </w:r>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3D40644B" w:rsidR="00D8028B" w:rsidRPr="00494F52" w:rsidRDefault="00D8028B" w:rsidP="0019279E">
      <w:pPr>
        <w:pStyle w:val="PR1"/>
      </w:pPr>
      <w:r w:rsidRPr="00494F52">
        <w:t xml:space="preserve">Manufacturer’s Standard Warranty:  Product to be free from defects in material and workmanship for a period of </w:t>
      </w:r>
      <w:r w:rsidR="003B71F0">
        <w:t>one</w:t>
      </w:r>
      <w:r w:rsidRPr="00494F52">
        <w:t xml:space="preserve"> (</w:t>
      </w:r>
      <w:r w:rsidR="00A335B4">
        <w:t>1</w:t>
      </w:r>
      <w:r w:rsidRPr="00494F52">
        <w:t>) year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26954EF3" w:rsidR="0046009B" w:rsidRDefault="0046009B" w:rsidP="005B6AE1">
      <w:pPr>
        <w:pStyle w:val="PR1"/>
      </w:pPr>
      <w:r>
        <w:t xml:space="preserve">Design </w:t>
      </w:r>
      <w:r w:rsidR="00EB574F">
        <w:t>HatchGrip®</w:t>
      </w:r>
      <w:r>
        <w:t xml:space="preserve"> to support, solely or in combinates of, temporary super-imposed live loads as indicated. All applied types of related loadings are transferred from industrial product barriers, solely or in combinations of, by anchorage to </w:t>
      </w:r>
      <w:r w:rsidR="00A335B4">
        <w:t>existing curbs</w:t>
      </w:r>
      <w:r>
        <w:t xml:space="preserve"> or </w:t>
      </w:r>
      <w:r w:rsidR="00A335B4">
        <w:t xml:space="preserve">new construction, </w:t>
      </w:r>
      <w:r>
        <w:t>and direct pressure contact to structural walls or other structural elements.</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010F4AB3" w:rsidR="00277EF4" w:rsidRPr="00494F52" w:rsidRDefault="00892792" w:rsidP="0019279E">
      <w:pPr>
        <w:pStyle w:val="ART"/>
      </w:pPr>
      <w:r>
        <w:t>HATCHGRIP WITH HARDWARE</w:t>
      </w:r>
    </w:p>
    <w:p w14:paraId="10B4B921" w14:textId="1BA3EA6E" w:rsidR="00054611" w:rsidRDefault="001759CE" w:rsidP="0019279E">
      <w:pPr>
        <w:pStyle w:val="PR1"/>
      </w:pPr>
      <w:r>
        <w:t>Description</w:t>
      </w:r>
      <w:r w:rsidR="00892792">
        <w:t>: HatchGrip®</w:t>
      </w:r>
      <w:r w:rsidR="00EB574F">
        <w:t xml:space="preserve"> </w:t>
      </w:r>
      <w:r w:rsidR="00C65794">
        <w:t xml:space="preserve">including </w:t>
      </w:r>
      <w:r w:rsidR="00EB574F">
        <w:t>horizontal grab bars, support tube, gasketing mounting hardware,</w:t>
      </w:r>
      <w:r w:rsidR="00C65794">
        <w:t xml:space="preserve"> and </w:t>
      </w:r>
      <w:r w:rsidR="00EB574F">
        <w:t>mounting</w:t>
      </w:r>
      <w:r w:rsidR="00C65794">
        <w:t xml:space="preserve"> hardware</w:t>
      </w:r>
      <w:r w:rsidR="008A145A">
        <w:t>.</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6EDAE201" w:rsidR="009167D8" w:rsidRPr="00494F52" w:rsidRDefault="00054611" w:rsidP="00722203">
      <w:pPr>
        <w:pStyle w:val="PR3"/>
        <w:spacing w:before="240"/>
      </w:pPr>
      <w:r>
        <w:t xml:space="preserve">Basis of Design Product:  Model: </w:t>
      </w:r>
      <w:r w:rsidR="00892792">
        <w:t>HTG</w:t>
      </w:r>
      <w:r w:rsidR="00722203">
        <w:t>.</w:t>
      </w:r>
    </w:p>
    <w:p w14:paraId="4A1D8EBB" w14:textId="77777777" w:rsidR="00277EF4" w:rsidRPr="00494F52" w:rsidRDefault="00277EF4" w:rsidP="0019279E">
      <w:pPr>
        <w:pStyle w:val="PR1"/>
      </w:pPr>
      <w:r w:rsidRPr="00494F52">
        <w:t>Substitutions:  Not permitted.</w:t>
      </w:r>
    </w:p>
    <w:p w14:paraId="6AF973AC" w14:textId="6E3BFF5C" w:rsidR="00277EF4" w:rsidRPr="00494F52" w:rsidRDefault="00054611" w:rsidP="0019279E">
      <w:pPr>
        <w:pStyle w:val="PR1"/>
      </w:pPr>
      <w:r>
        <w:t xml:space="preserve">Single Source </w:t>
      </w:r>
      <w:r w:rsidR="005D3CD6">
        <w:t>Responsibilities</w:t>
      </w:r>
      <w:r>
        <w:t xml:space="preserve">:  </w:t>
      </w:r>
      <w:r w:rsidR="00277EF4" w:rsidRPr="00494F52">
        <w:t xml:space="preserve">Obtain all </w:t>
      </w:r>
      <w:r w:rsidR="00892792">
        <w:t>HatchGrip®</w:t>
      </w:r>
      <w:r w:rsidR="00C65794">
        <w:t xml:space="preserve">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4144A458" w:rsidR="00277EF4" w:rsidRDefault="00277EF4" w:rsidP="0019279E">
      <w:pPr>
        <w:pStyle w:val="PR1"/>
      </w:pPr>
      <w:r w:rsidRPr="00494F52">
        <w:lastRenderedPageBreak/>
        <w:t>Products Details:</w:t>
      </w:r>
    </w:p>
    <w:p w14:paraId="0161ACDF" w14:textId="6C687180" w:rsidR="00723AA1" w:rsidRDefault="00723AA1" w:rsidP="00723AA1">
      <w:pPr>
        <w:pStyle w:val="PR2"/>
      </w:pPr>
      <w:r>
        <w:t xml:space="preserve">The </w:t>
      </w:r>
      <w:r w:rsidR="00892792">
        <w:t>HatchGrip® provides horizontal grab bars to assist in safely exiting/entering a roof hatch by providing horizontal hand holds to ascend or descent through the hatch opening</w:t>
      </w:r>
      <w:r w:rsidR="003B71F0">
        <w:t>.</w:t>
      </w:r>
      <w:r w:rsidR="00892792">
        <w:t xml:space="preserve"> </w:t>
      </w:r>
    </w:p>
    <w:p w14:paraId="286C761B" w14:textId="4A325D59" w:rsidR="00723AA1" w:rsidRPr="00494F52" w:rsidRDefault="00892792" w:rsidP="007851BE">
      <w:pPr>
        <w:pStyle w:val="PR3"/>
      </w:pPr>
      <w:r>
        <w:t>Only hori</w:t>
      </w:r>
      <w:r w:rsidR="007851BE">
        <w:t>z</w:t>
      </w:r>
      <w:r>
        <w:t>ontal grip members are reliable</w:t>
      </w:r>
      <w:r w:rsidR="007851BE">
        <w:t xml:space="preserve"> to sustain a fall of the body if the foot slides off the rung for any reason. If a vertical member is held, no matter what the shape of the side rail or the strength of grip, the force of falling causes the hand to slide, producing an impact with the next rail obstruction, which causes release of the handhold and a resulting fall.</w:t>
      </w:r>
    </w:p>
    <w:p w14:paraId="6C86D86B" w14:textId="77777777" w:rsidR="00073DD9" w:rsidRDefault="00073DD9" w:rsidP="00B74948">
      <w:pPr>
        <w:pStyle w:val="PR2"/>
        <w:numPr>
          <w:ilvl w:val="0"/>
          <w:numId w:val="0"/>
        </w:numPr>
        <w:tabs>
          <w:tab w:val="clear" w:pos="1440"/>
        </w:tabs>
        <w:ind w:left="1440" w:hanging="576"/>
      </w:pPr>
    </w:p>
    <w:p w14:paraId="3270F694" w14:textId="47F37757" w:rsidR="00F02D46" w:rsidRDefault="00767B65" w:rsidP="007851BE">
      <w:pPr>
        <w:pStyle w:val="PR2"/>
        <w:tabs>
          <w:tab w:val="clear" w:pos="1440"/>
        </w:tabs>
      </w:pPr>
      <w:r>
        <w:t xml:space="preserve">Mounting/Load Transfer: Anchor to existing </w:t>
      </w:r>
      <w:r w:rsidR="00B74948">
        <w:t>roof hatch curb</w:t>
      </w:r>
      <w:r w:rsidR="007940A2">
        <w:t xml:space="preserve"> and new construction</w:t>
      </w:r>
      <w:r>
        <w:t xml:space="preserve">. </w:t>
      </w:r>
      <w:r w:rsidR="00B74948">
        <w:t xml:space="preserve">HatchGrip® </w:t>
      </w:r>
      <w:r>
        <w:t xml:space="preserve">designed for specific loads and will transfer loads to adjacent </w:t>
      </w:r>
      <w:r w:rsidR="00B74948">
        <w:t>curb and roof hatch</w:t>
      </w:r>
      <w:r>
        <w:t>.</w:t>
      </w:r>
    </w:p>
    <w:p w14:paraId="4A84D9E8" w14:textId="77777777" w:rsidR="00277EF4" w:rsidRPr="00494F52" w:rsidRDefault="00277EF4" w:rsidP="0019279E">
      <w:pPr>
        <w:pStyle w:val="ART"/>
      </w:pPr>
      <w:r w:rsidRPr="00494F52">
        <w:t>MATERIALS</w:t>
      </w:r>
    </w:p>
    <w:p w14:paraId="2E0A5899" w14:textId="73C2D9D2" w:rsidR="0026608F" w:rsidRDefault="00B74948" w:rsidP="00A65E8F">
      <w:pPr>
        <w:pStyle w:val="PR1"/>
      </w:pPr>
      <w:r>
        <w:t>HatchGrip</w:t>
      </w:r>
    </w:p>
    <w:p w14:paraId="27406D24" w14:textId="53E9DFA4" w:rsidR="006D4F31" w:rsidRPr="006D4F31" w:rsidRDefault="006D4F31" w:rsidP="00F03291">
      <w:pPr>
        <w:pStyle w:val="PR1"/>
        <w:numPr>
          <w:ilvl w:val="0"/>
          <w:numId w:val="0"/>
        </w:numPr>
        <w:spacing w:after="240"/>
        <w:rPr>
          <w:color w:val="C00000"/>
        </w:rPr>
      </w:pPr>
      <w:r w:rsidRPr="006D4F31">
        <w:rPr>
          <w:color w:val="C00000"/>
        </w:rPr>
        <w:t>**Note to Specifier** Choose one (1) of the following materials.</w:t>
      </w:r>
    </w:p>
    <w:p w14:paraId="266B0F15" w14:textId="35EFBC07" w:rsidR="0026608F" w:rsidRDefault="0026608F" w:rsidP="0026608F">
      <w:pPr>
        <w:pStyle w:val="PR2"/>
      </w:pPr>
      <w:r>
        <w:t>Steel: Commercial quality, low carbon steel of appropriate size and strength, welded and structurally bonded.</w:t>
      </w:r>
    </w:p>
    <w:p w14:paraId="490D29C4" w14:textId="7A653FD2" w:rsidR="0026608F" w:rsidRDefault="0026608F" w:rsidP="0026608F">
      <w:pPr>
        <w:pStyle w:val="PR2"/>
      </w:pPr>
      <w:r>
        <w:t>Stainless Steel Type 304</w:t>
      </w:r>
      <w:r w:rsidR="00B74948">
        <w:t xml:space="preserve"> or 316</w:t>
      </w:r>
      <w:r>
        <w:t>: stainless steel of appropriate size and strength, welded and structurally bonded.</w:t>
      </w:r>
    </w:p>
    <w:p w14:paraId="194E4E88" w14:textId="630FA6D0" w:rsidR="00EB574F" w:rsidRDefault="00EB574F" w:rsidP="00EB574F">
      <w:pPr>
        <w:pStyle w:val="PR1"/>
      </w:pPr>
      <w:r>
        <w:t>Hardware/Fasteners: Finish to correspond with product material type. Zinc-plated fasteners supplied with mild steel products, except where specifically noted otherwise.</w:t>
      </w:r>
    </w:p>
    <w:p w14:paraId="0DE3F924" w14:textId="5DB6BFED" w:rsidR="00993301" w:rsidRDefault="00993301" w:rsidP="00723AA1">
      <w:pPr>
        <w:pStyle w:val="PR1"/>
      </w:pPr>
      <w:bookmarkStart w:id="0" w:name="_Hlk516684413"/>
      <w:r>
        <w:t xml:space="preserve">Finish: </w:t>
      </w:r>
    </w:p>
    <w:p w14:paraId="46EDCB94" w14:textId="7EF54968" w:rsidR="00550E1C" w:rsidRDefault="00550E1C" w:rsidP="00550E1C">
      <w:pPr>
        <w:pStyle w:val="PR2"/>
      </w:pPr>
      <w:r>
        <w:t>Steel Shop Finish: Apply the following paint system in accordance with m</w:t>
      </w:r>
      <w:r w:rsidR="00EE56B3">
        <w:t xml:space="preserve">anufacturer recommendations and </w:t>
      </w:r>
      <w:proofErr w:type="gramStart"/>
      <w:r w:rsidR="00EE56B3">
        <w:t>instructions;</w:t>
      </w:r>
      <w:proofErr w:type="gramEnd"/>
    </w:p>
    <w:p w14:paraId="6303ECD1" w14:textId="3603AFA7" w:rsidR="00EE56B3" w:rsidRDefault="00EE56B3" w:rsidP="00EB574F">
      <w:pPr>
        <w:pStyle w:val="PR3"/>
        <w:spacing w:before="240"/>
      </w:pPr>
      <w:r>
        <w:t>Finish: Powder Coat (#49 Gray)</w:t>
      </w:r>
    </w:p>
    <w:p w14:paraId="32D93502" w14:textId="52B2F23B" w:rsidR="00EE56B3" w:rsidRDefault="00EE56B3" w:rsidP="00EE56B3">
      <w:pPr>
        <w:pStyle w:val="PR2"/>
        <w:spacing w:before="240"/>
      </w:pPr>
      <w:r>
        <w:t>Stainless Steel products to be mill finish, welds are ground smooth, not polished.</w:t>
      </w:r>
    </w:p>
    <w:bookmarkEnd w:id="0"/>
    <w:p w14:paraId="67348779" w14:textId="700AD018" w:rsidR="00BA5E61" w:rsidRPr="00606FCC" w:rsidRDefault="00A267BF" w:rsidP="00E078E2">
      <w:pPr>
        <w:pStyle w:val="PR1"/>
      </w:pPr>
      <w:r>
        <w:t xml:space="preserve">Labeling: </w:t>
      </w:r>
      <w:r w:rsidR="00E078E2">
        <w:t>Factory mounted, decal labels for product identification</w:t>
      </w:r>
      <w:r>
        <w:t>.</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lastRenderedPageBreak/>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17FF28FE" w:rsidR="00474D81" w:rsidRPr="00494F52" w:rsidRDefault="00E078E2" w:rsidP="0019279E">
      <w:pPr>
        <w:pStyle w:val="PR1"/>
      </w:pPr>
      <w:r>
        <w:t>Product</w:t>
      </w:r>
      <w:r w:rsidR="00474D81">
        <w:t xml:space="preserve">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t>Verify all anchorage is in accordance with manufacture</w:t>
      </w:r>
      <w:r w:rsidR="00080282">
        <w:t>r</w:t>
      </w:r>
      <w:r w:rsidRPr="00C66769">
        <w:t>'s installation instructions and applicable data sheets.</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1F828C54" w:rsidR="00EB6A59" w:rsidRDefault="00474D81" w:rsidP="00F15658">
      <w:pPr>
        <w:pStyle w:val="PR2"/>
        <w:spacing w:before="240"/>
      </w:pPr>
      <w:r>
        <w:t xml:space="preserve">Installer to operate and field verified products including the </w:t>
      </w:r>
      <w:r w:rsidR="00EB574F">
        <w:t>mounting</w:t>
      </w:r>
      <w:r>
        <w:t xml:space="preserve"> surfaces to assure that they maintain contact at the correct points.</w:t>
      </w:r>
    </w:p>
    <w:p w14:paraId="2B91220C" w14:textId="53411841" w:rsidR="00474D81" w:rsidRDefault="00474D81" w:rsidP="00474D81">
      <w:pPr>
        <w:pStyle w:val="PR2"/>
      </w:pPr>
      <w:r>
        <w:t xml:space="preserve">Installer to verify that </w:t>
      </w:r>
      <w:r w:rsidR="00B74948">
        <w:t>HatchGrip®</w:t>
      </w:r>
      <w:r>
        <w:t xml:space="preserve"> </w:t>
      </w:r>
      <w:r w:rsidR="00B74948">
        <w:t>is correctly mounted</w:t>
      </w:r>
      <w:r>
        <w:t xml:space="preserve"> and </w:t>
      </w:r>
      <w:r w:rsidR="00B74948">
        <w:t>secure</w:t>
      </w:r>
      <w:r>
        <w:t>.</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lastRenderedPageBreak/>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136D3CAB"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722203">
      <w:rPr>
        <w:rFonts w:cs="Arial"/>
        <w:szCs w:val="22"/>
      </w:rPr>
      <w:t>0</w:t>
    </w:r>
    <w:r w:rsidR="00D768E9">
      <w:rPr>
        <w:rFonts w:cs="Arial"/>
        <w:szCs w:val="22"/>
      </w:rPr>
      <w:t>5</w:t>
    </w:r>
    <w:r w:rsidR="00F91E86">
      <w:rPr>
        <w:rFonts w:cs="Arial"/>
        <w:szCs w:val="22"/>
      </w:rPr>
      <w:t>.</w:t>
    </w:r>
    <w:r w:rsidR="00E078E2">
      <w:rPr>
        <w:rFonts w:cs="Arial"/>
        <w:szCs w:val="22"/>
      </w:rPr>
      <w:t>2</w:t>
    </w:r>
    <w:r w:rsidR="00F03291">
      <w:rPr>
        <w:rFonts w:cs="Arial"/>
        <w:szCs w:val="22"/>
      </w:rPr>
      <w:t>1</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2"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3"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4"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2"/>
  </w:num>
  <w:num w:numId="2">
    <w:abstractNumId w:val="12"/>
  </w:num>
  <w:num w:numId="3">
    <w:abstractNumId w:val="2"/>
  </w:num>
  <w:num w:numId="4">
    <w:abstractNumId w:val="10"/>
  </w:num>
  <w:num w:numId="5">
    <w:abstractNumId w:val="19"/>
  </w:num>
  <w:num w:numId="6">
    <w:abstractNumId w:val="22"/>
  </w:num>
  <w:num w:numId="7">
    <w:abstractNumId w:val="34"/>
  </w:num>
  <w:num w:numId="8">
    <w:abstractNumId w:val="4"/>
  </w:num>
  <w:num w:numId="9">
    <w:abstractNumId w:val="7"/>
  </w:num>
  <w:num w:numId="10">
    <w:abstractNumId w:val="15"/>
  </w:num>
  <w:num w:numId="11">
    <w:abstractNumId w:val="1"/>
  </w:num>
  <w:num w:numId="12">
    <w:abstractNumId w:val="3"/>
  </w:num>
  <w:num w:numId="13">
    <w:abstractNumId w:val="14"/>
  </w:num>
  <w:num w:numId="14">
    <w:abstractNumId w:val="28"/>
  </w:num>
  <w:num w:numId="15">
    <w:abstractNumId w:val="20"/>
  </w:num>
  <w:num w:numId="16">
    <w:abstractNumId w:val="23"/>
  </w:num>
  <w:num w:numId="17">
    <w:abstractNumId w:val="18"/>
  </w:num>
  <w:num w:numId="18">
    <w:abstractNumId w:val="21"/>
  </w:num>
  <w:num w:numId="19">
    <w:abstractNumId w:val="33"/>
  </w:num>
  <w:num w:numId="20">
    <w:abstractNumId w:val="11"/>
  </w:num>
  <w:num w:numId="21">
    <w:abstractNumId w:val="16"/>
  </w:num>
  <w:num w:numId="22">
    <w:abstractNumId w:val="29"/>
  </w:num>
  <w:num w:numId="23">
    <w:abstractNumId w:val="25"/>
  </w:num>
  <w:num w:numId="24">
    <w:abstractNumId w:val="27"/>
  </w:num>
  <w:num w:numId="25">
    <w:abstractNumId w:val="0"/>
  </w:num>
  <w:num w:numId="26">
    <w:abstractNumId w:val="6"/>
  </w:num>
  <w:num w:numId="27">
    <w:abstractNumId w:val="9"/>
  </w:num>
  <w:num w:numId="28">
    <w:abstractNumId w:val="26"/>
  </w:num>
  <w:num w:numId="29">
    <w:abstractNumId w:val="5"/>
  </w:num>
  <w:num w:numId="30">
    <w:abstractNumId w:val="17"/>
  </w:num>
  <w:num w:numId="31">
    <w:abstractNumId w:val="8"/>
  </w:num>
  <w:num w:numId="32">
    <w:abstractNumId w:val="13"/>
  </w:num>
  <w:num w:numId="33">
    <w:abstractNumId w:val="30"/>
  </w:num>
  <w:num w:numId="34">
    <w:abstractNumId w:val="31"/>
  </w:num>
  <w:num w:numId="35">
    <w:abstractNumId w:val="0"/>
  </w:num>
  <w:num w:numId="36">
    <w:abstractNumId w:val="24"/>
  </w:num>
  <w:num w:numId="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73DD9"/>
    <w:rsid w:val="00080282"/>
    <w:rsid w:val="00094385"/>
    <w:rsid w:val="00095464"/>
    <w:rsid w:val="000A4FB4"/>
    <w:rsid w:val="000C2205"/>
    <w:rsid w:val="000C2582"/>
    <w:rsid w:val="000C2C8A"/>
    <w:rsid w:val="000E0861"/>
    <w:rsid w:val="000E6649"/>
    <w:rsid w:val="00101935"/>
    <w:rsid w:val="00114673"/>
    <w:rsid w:val="00114819"/>
    <w:rsid w:val="0012175E"/>
    <w:rsid w:val="0012236D"/>
    <w:rsid w:val="00124EB1"/>
    <w:rsid w:val="00130A60"/>
    <w:rsid w:val="00130BBD"/>
    <w:rsid w:val="00135CD2"/>
    <w:rsid w:val="0016157E"/>
    <w:rsid w:val="001759CE"/>
    <w:rsid w:val="00185CEA"/>
    <w:rsid w:val="00185EB4"/>
    <w:rsid w:val="0019279E"/>
    <w:rsid w:val="0019797F"/>
    <w:rsid w:val="001A617F"/>
    <w:rsid w:val="001C0712"/>
    <w:rsid w:val="001D6AAC"/>
    <w:rsid w:val="001E04E1"/>
    <w:rsid w:val="001E0741"/>
    <w:rsid w:val="001E0BF2"/>
    <w:rsid w:val="001F3591"/>
    <w:rsid w:val="001F3F4B"/>
    <w:rsid w:val="001F7F60"/>
    <w:rsid w:val="00217ADF"/>
    <w:rsid w:val="00220DFE"/>
    <w:rsid w:val="00233D35"/>
    <w:rsid w:val="00250CB7"/>
    <w:rsid w:val="002567EC"/>
    <w:rsid w:val="00257605"/>
    <w:rsid w:val="00264352"/>
    <w:rsid w:val="00265FDF"/>
    <w:rsid w:val="0026608F"/>
    <w:rsid w:val="00277EF4"/>
    <w:rsid w:val="00280B9F"/>
    <w:rsid w:val="00294477"/>
    <w:rsid w:val="00297BF1"/>
    <w:rsid w:val="002A47D4"/>
    <w:rsid w:val="002B297A"/>
    <w:rsid w:val="002B4912"/>
    <w:rsid w:val="002C04BB"/>
    <w:rsid w:val="002C215A"/>
    <w:rsid w:val="002C308A"/>
    <w:rsid w:val="002D43DD"/>
    <w:rsid w:val="002E4DF8"/>
    <w:rsid w:val="002F03D0"/>
    <w:rsid w:val="002F1F9E"/>
    <w:rsid w:val="002F5761"/>
    <w:rsid w:val="003000F5"/>
    <w:rsid w:val="0030059B"/>
    <w:rsid w:val="00305082"/>
    <w:rsid w:val="003064E4"/>
    <w:rsid w:val="0031585D"/>
    <w:rsid w:val="003235C1"/>
    <w:rsid w:val="00325A52"/>
    <w:rsid w:val="00332B16"/>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1F0"/>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BA9"/>
    <w:rsid w:val="00504C2A"/>
    <w:rsid w:val="005111E4"/>
    <w:rsid w:val="0051428D"/>
    <w:rsid w:val="00514927"/>
    <w:rsid w:val="005330AD"/>
    <w:rsid w:val="00534BD8"/>
    <w:rsid w:val="005467E3"/>
    <w:rsid w:val="00546EA8"/>
    <w:rsid w:val="00547FB1"/>
    <w:rsid w:val="00550E1C"/>
    <w:rsid w:val="00557D2A"/>
    <w:rsid w:val="00561FC7"/>
    <w:rsid w:val="00572988"/>
    <w:rsid w:val="005743DD"/>
    <w:rsid w:val="00577274"/>
    <w:rsid w:val="00585666"/>
    <w:rsid w:val="005A18ED"/>
    <w:rsid w:val="005A3E42"/>
    <w:rsid w:val="005A4F5F"/>
    <w:rsid w:val="005B6AE1"/>
    <w:rsid w:val="005C1911"/>
    <w:rsid w:val="005D3CD6"/>
    <w:rsid w:val="005F168F"/>
    <w:rsid w:val="00603F7B"/>
    <w:rsid w:val="00606FAE"/>
    <w:rsid w:val="00606FCC"/>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D4F31"/>
    <w:rsid w:val="006F0A2B"/>
    <w:rsid w:val="006F338F"/>
    <w:rsid w:val="006F72F0"/>
    <w:rsid w:val="00700ECC"/>
    <w:rsid w:val="00702455"/>
    <w:rsid w:val="0072187E"/>
    <w:rsid w:val="00722203"/>
    <w:rsid w:val="00723AA1"/>
    <w:rsid w:val="00726C6D"/>
    <w:rsid w:val="00727089"/>
    <w:rsid w:val="00735935"/>
    <w:rsid w:val="007365F7"/>
    <w:rsid w:val="0074302F"/>
    <w:rsid w:val="00750AD5"/>
    <w:rsid w:val="007540AD"/>
    <w:rsid w:val="007616E4"/>
    <w:rsid w:val="00764B28"/>
    <w:rsid w:val="00767B65"/>
    <w:rsid w:val="00772025"/>
    <w:rsid w:val="00772718"/>
    <w:rsid w:val="00774CC2"/>
    <w:rsid w:val="00782BE7"/>
    <w:rsid w:val="007832E6"/>
    <w:rsid w:val="007851BE"/>
    <w:rsid w:val="00787AAE"/>
    <w:rsid w:val="00791BE8"/>
    <w:rsid w:val="0079352A"/>
    <w:rsid w:val="00793930"/>
    <w:rsid w:val="007940A2"/>
    <w:rsid w:val="007A74E1"/>
    <w:rsid w:val="007B3DC5"/>
    <w:rsid w:val="007B6486"/>
    <w:rsid w:val="007C175E"/>
    <w:rsid w:val="007C481A"/>
    <w:rsid w:val="007D2A3F"/>
    <w:rsid w:val="007F3F1D"/>
    <w:rsid w:val="00810FFD"/>
    <w:rsid w:val="0081312A"/>
    <w:rsid w:val="00814330"/>
    <w:rsid w:val="0082170E"/>
    <w:rsid w:val="00825113"/>
    <w:rsid w:val="00830ABE"/>
    <w:rsid w:val="0083569B"/>
    <w:rsid w:val="00835E5B"/>
    <w:rsid w:val="00861566"/>
    <w:rsid w:val="008652AA"/>
    <w:rsid w:val="00872955"/>
    <w:rsid w:val="008737F5"/>
    <w:rsid w:val="008870C2"/>
    <w:rsid w:val="008875F7"/>
    <w:rsid w:val="0089118E"/>
    <w:rsid w:val="00892792"/>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168C6"/>
    <w:rsid w:val="009206E3"/>
    <w:rsid w:val="00923755"/>
    <w:rsid w:val="009266E6"/>
    <w:rsid w:val="00944742"/>
    <w:rsid w:val="00951905"/>
    <w:rsid w:val="00957817"/>
    <w:rsid w:val="00983B64"/>
    <w:rsid w:val="00986CA2"/>
    <w:rsid w:val="00987893"/>
    <w:rsid w:val="0099202F"/>
    <w:rsid w:val="00993301"/>
    <w:rsid w:val="009A7E5F"/>
    <w:rsid w:val="009C3A3B"/>
    <w:rsid w:val="009D38C1"/>
    <w:rsid w:val="009D61EE"/>
    <w:rsid w:val="009D70C7"/>
    <w:rsid w:val="009E0B08"/>
    <w:rsid w:val="009E679C"/>
    <w:rsid w:val="009F36B7"/>
    <w:rsid w:val="00A04AA0"/>
    <w:rsid w:val="00A209CB"/>
    <w:rsid w:val="00A20E19"/>
    <w:rsid w:val="00A2607B"/>
    <w:rsid w:val="00A267BF"/>
    <w:rsid w:val="00A327AE"/>
    <w:rsid w:val="00A335B4"/>
    <w:rsid w:val="00A53BEB"/>
    <w:rsid w:val="00A541BB"/>
    <w:rsid w:val="00A57384"/>
    <w:rsid w:val="00A65E8F"/>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74948"/>
    <w:rsid w:val="00B82058"/>
    <w:rsid w:val="00B84AC8"/>
    <w:rsid w:val="00B92C49"/>
    <w:rsid w:val="00B9612C"/>
    <w:rsid w:val="00BA3431"/>
    <w:rsid w:val="00BA39E2"/>
    <w:rsid w:val="00BA5E61"/>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10094"/>
    <w:rsid w:val="00C122D2"/>
    <w:rsid w:val="00C153C1"/>
    <w:rsid w:val="00C215AC"/>
    <w:rsid w:val="00C21B1A"/>
    <w:rsid w:val="00C2300E"/>
    <w:rsid w:val="00C278C7"/>
    <w:rsid w:val="00C27E88"/>
    <w:rsid w:val="00C3002B"/>
    <w:rsid w:val="00C4037B"/>
    <w:rsid w:val="00C46FF3"/>
    <w:rsid w:val="00C51507"/>
    <w:rsid w:val="00C5244B"/>
    <w:rsid w:val="00C65794"/>
    <w:rsid w:val="00C66769"/>
    <w:rsid w:val="00C73D3B"/>
    <w:rsid w:val="00C73E6A"/>
    <w:rsid w:val="00C77E24"/>
    <w:rsid w:val="00C80401"/>
    <w:rsid w:val="00C80AEA"/>
    <w:rsid w:val="00C86C1A"/>
    <w:rsid w:val="00C97B3C"/>
    <w:rsid w:val="00CA495A"/>
    <w:rsid w:val="00CC7891"/>
    <w:rsid w:val="00CD545D"/>
    <w:rsid w:val="00CE7F01"/>
    <w:rsid w:val="00CF24C4"/>
    <w:rsid w:val="00CF39F1"/>
    <w:rsid w:val="00CF5C04"/>
    <w:rsid w:val="00D164AA"/>
    <w:rsid w:val="00D21CE1"/>
    <w:rsid w:val="00D5286C"/>
    <w:rsid w:val="00D53EBB"/>
    <w:rsid w:val="00D55100"/>
    <w:rsid w:val="00D65FCC"/>
    <w:rsid w:val="00D73017"/>
    <w:rsid w:val="00D74FDA"/>
    <w:rsid w:val="00D768E9"/>
    <w:rsid w:val="00D76926"/>
    <w:rsid w:val="00D8028B"/>
    <w:rsid w:val="00D826F7"/>
    <w:rsid w:val="00D87C84"/>
    <w:rsid w:val="00D90027"/>
    <w:rsid w:val="00D930B7"/>
    <w:rsid w:val="00DA16E5"/>
    <w:rsid w:val="00DA44CA"/>
    <w:rsid w:val="00DA7147"/>
    <w:rsid w:val="00DC5BF8"/>
    <w:rsid w:val="00DD0327"/>
    <w:rsid w:val="00DD701E"/>
    <w:rsid w:val="00DE3D65"/>
    <w:rsid w:val="00DE73F6"/>
    <w:rsid w:val="00DF0591"/>
    <w:rsid w:val="00E002F7"/>
    <w:rsid w:val="00E00DC2"/>
    <w:rsid w:val="00E03270"/>
    <w:rsid w:val="00E078E2"/>
    <w:rsid w:val="00E13727"/>
    <w:rsid w:val="00E27D85"/>
    <w:rsid w:val="00E30628"/>
    <w:rsid w:val="00E32CA2"/>
    <w:rsid w:val="00E36FC1"/>
    <w:rsid w:val="00E43023"/>
    <w:rsid w:val="00E4641A"/>
    <w:rsid w:val="00E470CE"/>
    <w:rsid w:val="00E85EDD"/>
    <w:rsid w:val="00EA3832"/>
    <w:rsid w:val="00EA6466"/>
    <w:rsid w:val="00EB322F"/>
    <w:rsid w:val="00EB574F"/>
    <w:rsid w:val="00EB5F51"/>
    <w:rsid w:val="00EB6A59"/>
    <w:rsid w:val="00EC2D16"/>
    <w:rsid w:val="00EC4352"/>
    <w:rsid w:val="00EC5A32"/>
    <w:rsid w:val="00ED5486"/>
    <w:rsid w:val="00EE56B3"/>
    <w:rsid w:val="00EE6F6F"/>
    <w:rsid w:val="00EF0630"/>
    <w:rsid w:val="00EF18BC"/>
    <w:rsid w:val="00EF6BEF"/>
    <w:rsid w:val="00EF763B"/>
    <w:rsid w:val="00F02AA6"/>
    <w:rsid w:val="00F02D46"/>
    <w:rsid w:val="00F03291"/>
    <w:rsid w:val="00F0754F"/>
    <w:rsid w:val="00F07873"/>
    <w:rsid w:val="00F0799A"/>
    <w:rsid w:val="00F15658"/>
    <w:rsid w:val="00F23505"/>
    <w:rsid w:val="00F31F72"/>
    <w:rsid w:val="00F376D8"/>
    <w:rsid w:val="00F426F6"/>
    <w:rsid w:val="00F470FA"/>
    <w:rsid w:val="00F63E6C"/>
    <w:rsid w:val="00F71355"/>
    <w:rsid w:val="00F73C98"/>
    <w:rsid w:val="00F747ED"/>
    <w:rsid w:val="00F760D8"/>
    <w:rsid w:val="00F867B9"/>
    <w:rsid w:val="00F91465"/>
    <w:rsid w:val="00F91B3B"/>
    <w:rsid w:val="00F91E86"/>
    <w:rsid w:val="00F95852"/>
    <w:rsid w:val="00F96835"/>
    <w:rsid w:val="00FA501E"/>
    <w:rsid w:val="00FB0D0E"/>
    <w:rsid w:val="00FB1263"/>
    <w:rsid w:val="00FB1554"/>
    <w:rsid w:val="00FB3FE8"/>
    <w:rsid w:val="00FD372B"/>
    <w:rsid w:val="00FD5042"/>
    <w:rsid w:val="00FD5A36"/>
    <w:rsid w:val="00FE2523"/>
    <w:rsid w:val="00FE2A0C"/>
    <w:rsid w:val="00FF2EB1"/>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7749</Characters>
  <Application>Microsoft Office Word</Application>
  <DocSecurity>0</DocSecurity>
  <Lines>149</Lines>
  <Paragraphs>112</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8916</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2021-05-21T14:28:00Z</dcterms:created>
  <dcterms:modified xsi:type="dcterms:W3CDTF">2021-05-21T14:28:00Z</dcterms:modified>
</cp:coreProperties>
</file>